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52614" w14:textId="5D29CF2D" w:rsidR="00E946E1" w:rsidRPr="00F542A0" w:rsidRDefault="00E946E1" w:rsidP="00E946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_Ref462675860"/>
      <w:bookmarkEnd w:id="0"/>
      <w:r w:rsidRPr="00F542A0">
        <w:rPr>
          <w:rFonts w:cs="Arial"/>
          <w:sz w:val="24"/>
          <w:szCs w:val="24"/>
          <w:lang w:eastAsia="zh-CN"/>
        </w:rPr>
        <w:t>3GPP TSG-RAN WG4 Meeting #114</w:t>
      </w:r>
      <w:r>
        <w:rPr>
          <w:rFonts w:cs="Arial"/>
          <w:sz w:val="24"/>
          <w:szCs w:val="24"/>
          <w:lang w:eastAsia="zh-CN"/>
        </w:rPr>
        <w:t>bis</w:t>
      </w:r>
      <w:r w:rsidRPr="00F542A0">
        <w:rPr>
          <w:rFonts w:cs="Arial"/>
          <w:sz w:val="24"/>
          <w:szCs w:val="24"/>
          <w:lang w:eastAsia="zh-CN"/>
        </w:rPr>
        <w:tab/>
      </w:r>
      <w:r w:rsidR="002A0D01" w:rsidRPr="002A0D01">
        <w:rPr>
          <w:rFonts w:cs="Arial"/>
          <w:sz w:val="24"/>
          <w:szCs w:val="24"/>
          <w:lang w:eastAsia="zh-CN"/>
        </w:rPr>
        <w:t>R4-2504340</w:t>
      </w:r>
    </w:p>
    <w:p w14:paraId="7CCAE72A" w14:textId="4E868C1D" w:rsidR="001A1B81" w:rsidRPr="0052514D" w:rsidRDefault="00E946E1" w:rsidP="001A1B8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Wuhan</w:t>
      </w:r>
      <w:r w:rsidRPr="00F542A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Hubei, China</w:t>
      </w:r>
      <w:r w:rsidRPr="00F542A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0</w:t>
      </w:r>
      <w:r w:rsidRPr="00F542A0">
        <w:rPr>
          <w:rFonts w:cs="Arial"/>
          <w:sz w:val="24"/>
          <w:szCs w:val="24"/>
          <w:lang w:eastAsia="zh-CN"/>
        </w:rPr>
        <w:t>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11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April</w:t>
      </w:r>
      <w:r w:rsidRPr="00F542A0">
        <w:rPr>
          <w:rFonts w:cs="Arial"/>
          <w:sz w:val="24"/>
          <w:szCs w:val="24"/>
          <w:lang w:eastAsia="zh-CN"/>
        </w:rPr>
        <w:t>, 2025</w:t>
      </w:r>
    </w:p>
    <w:p w14:paraId="5389AA48" w14:textId="14129CCD" w:rsidR="00447550" w:rsidRPr="00C13DA6" w:rsidRDefault="00447550" w:rsidP="001841B1">
      <w:pPr>
        <w:rPr>
          <w:rFonts w:ascii="Arial" w:hAnsi="Arial" w:cs="Arial"/>
          <w:b/>
        </w:rPr>
      </w:pPr>
    </w:p>
    <w:p w14:paraId="75E5446D" w14:textId="60D4DDB6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827913">
        <w:rPr>
          <w:rFonts w:ascii="Arial" w:hAnsi="Arial"/>
          <w:sz w:val="24"/>
        </w:rPr>
        <w:t>7</w:t>
      </w:r>
      <w:r w:rsidR="006B0E0F">
        <w:rPr>
          <w:rFonts w:ascii="Arial" w:hAnsi="Arial"/>
          <w:sz w:val="24"/>
        </w:rPr>
        <w:t>.</w:t>
      </w:r>
      <w:r w:rsidR="00FE5EE9">
        <w:rPr>
          <w:rFonts w:ascii="Arial" w:hAnsi="Arial"/>
          <w:sz w:val="24"/>
        </w:rPr>
        <w:t>2</w:t>
      </w:r>
      <w:r w:rsidR="008A391F">
        <w:rPr>
          <w:rFonts w:ascii="Arial" w:hAnsi="Arial"/>
          <w:sz w:val="24"/>
        </w:rPr>
        <w:t>3</w:t>
      </w:r>
      <w:r w:rsidR="006B0E0F">
        <w:rPr>
          <w:rFonts w:ascii="Arial" w:hAnsi="Arial"/>
          <w:sz w:val="24"/>
        </w:rPr>
        <w:t>.</w:t>
      </w:r>
      <w:r w:rsidR="00560D4B">
        <w:rPr>
          <w:rFonts w:ascii="Arial" w:hAnsi="Arial"/>
          <w:sz w:val="24"/>
        </w:rPr>
        <w:t>2.</w:t>
      </w:r>
      <w:r w:rsidR="00CE5C29">
        <w:rPr>
          <w:rFonts w:ascii="Arial" w:hAnsi="Arial"/>
          <w:sz w:val="24"/>
        </w:rPr>
        <w:t>2</w:t>
      </w:r>
    </w:p>
    <w:p w14:paraId="777EF737" w14:textId="77777777" w:rsidR="00A37CEF" w:rsidRPr="00785E35" w:rsidRDefault="00A37CEF" w:rsidP="002A08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5CDEEF4A" w14:textId="1A76351E" w:rsidR="00A37CEF" w:rsidRPr="00785E35" w:rsidRDefault="00A37CEF" w:rsidP="002A087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 w:rsidR="00582C3B">
        <w:rPr>
          <w:rFonts w:ascii="Arial" w:hAnsi="Arial"/>
          <w:sz w:val="24"/>
        </w:rPr>
        <w:t xml:space="preserve">Views on </w:t>
      </w:r>
      <w:r w:rsidR="006F730F">
        <w:rPr>
          <w:rFonts w:ascii="Arial" w:hAnsi="Arial"/>
          <w:sz w:val="24"/>
        </w:rPr>
        <w:t>existing BS RF requirements</w:t>
      </w:r>
      <w:r w:rsidR="007E49C0">
        <w:rPr>
          <w:rFonts w:ascii="Arial" w:hAnsi="Arial"/>
          <w:sz w:val="24"/>
        </w:rPr>
        <w:t xml:space="preserve"> for </w:t>
      </w:r>
      <w:r w:rsidR="006F730F">
        <w:rPr>
          <w:rFonts w:ascii="Arial" w:hAnsi="Arial"/>
          <w:sz w:val="24"/>
        </w:rPr>
        <w:t>SBFD</w:t>
      </w:r>
    </w:p>
    <w:p w14:paraId="6F8EE2E4" w14:textId="2FD7F559" w:rsidR="00A37CEF" w:rsidRPr="00785E35" w:rsidRDefault="00A37CEF" w:rsidP="002A087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 w:rsidR="00705014">
        <w:rPr>
          <w:rFonts w:ascii="Arial" w:hAnsi="Arial"/>
          <w:sz w:val="24"/>
        </w:rPr>
        <w:t>Approval</w:t>
      </w:r>
      <w:r w:rsidR="00E02445">
        <w:rPr>
          <w:rFonts w:ascii="Arial" w:hAnsi="Arial"/>
          <w:sz w:val="24"/>
        </w:rPr>
        <w:t xml:space="preserve"> </w:t>
      </w:r>
    </w:p>
    <w:p w14:paraId="57A32C14" w14:textId="77777777" w:rsidR="00A37CEF" w:rsidRPr="00785E35" w:rsidRDefault="00A37CEF" w:rsidP="002A0877">
      <w:pPr>
        <w:pStyle w:val="Heading1"/>
        <w:jc w:val="both"/>
      </w:pPr>
      <w:bookmarkStart w:id="4" w:name="_Ref465963108"/>
      <w:r w:rsidRPr="00785E35">
        <w:t>Introduction</w:t>
      </w:r>
      <w:bookmarkEnd w:id="1"/>
      <w:bookmarkEnd w:id="4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 xml:space="preserve">Specify BS RF requirements for SBFD operation at </w:t>
            </w:r>
            <w:proofErr w:type="spellStart"/>
            <w:r w:rsidRPr="003E0D9F">
              <w:rPr>
                <w:rFonts w:eastAsia="Malgun Gothic"/>
                <w:lang w:eastAsia="ko-KR"/>
              </w:rPr>
              <w:t>gNB</w:t>
            </w:r>
            <w:proofErr w:type="spellEnd"/>
            <w:r w:rsidRPr="003E0D9F">
              <w:rPr>
                <w:rFonts w:eastAsia="Malgun Gothic"/>
                <w:lang w:eastAsia="ko-KR"/>
              </w:rPr>
              <w:t xml:space="preserve">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662C5B6B" w:rsidR="00A37CEF" w:rsidRDefault="003B2119" w:rsidP="002A0877">
      <w:pPr>
        <w:jc w:val="both"/>
      </w:pPr>
      <w:r>
        <w:t>In RAN4#1</w:t>
      </w:r>
      <w:r w:rsidR="008A391F">
        <w:t>1</w:t>
      </w:r>
      <w:r w:rsidR="003D29EC">
        <w:t>4</w:t>
      </w:r>
      <w:r>
        <w:t>, a WF was agreed in [</w:t>
      </w:r>
      <w:r w:rsidR="003D29EC">
        <w:t>2</w:t>
      </w:r>
      <w:r>
        <w:t>] based on some of the topics listed in the moderator summary, that is summarized in [</w:t>
      </w:r>
      <w:r w:rsidR="003D29EC">
        <w:t>3</w:t>
      </w:r>
      <w:r>
        <w:t xml:space="preserve">]. In this contribution, </w:t>
      </w:r>
      <w:r w:rsidR="00A37CEF">
        <w:t xml:space="preserve">we </w:t>
      </w:r>
      <w:r w:rsidR="00EB7153">
        <w:t xml:space="preserve">share our views on </w:t>
      </w:r>
      <w:r w:rsidR="002E21FA">
        <w:t xml:space="preserve">existing BS RF requirements </w:t>
      </w:r>
      <w:r w:rsidR="00EF49CD">
        <w:t xml:space="preserve">for Rel-19 SBFD. </w:t>
      </w:r>
    </w:p>
    <w:p w14:paraId="7ACEA9AF" w14:textId="18116DF3" w:rsidR="00D15EE0" w:rsidRDefault="00D15EE0" w:rsidP="00D15EE0">
      <w:pPr>
        <w:pStyle w:val="Heading1"/>
      </w:pPr>
      <w:r>
        <w:t xml:space="preserve">Discussion </w:t>
      </w:r>
    </w:p>
    <w:p w14:paraId="1E1B9BFC" w14:textId="6696C558" w:rsidR="00543C13" w:rsidRDefault="00D47F8C" w:rsidP="00D15EE0">
      <w:pPr>
        <w:pStyle w:val="Heading2"/>
      </w:pPr>
      <w:r>
        <w:t xml:space="preserve">In-band blocking and additional emission </w:t>
      </w:r>
    </w:p>
    <w:p w14:paraId="70D08469" w14:textId="77777777" w:rsidR="00767151" w:rsidRDefault="00767151" w:rsidP="0091595A">
      <w:pPr>
        <w:jc w:val="both"/>
        <w:rPr>
          <w:lang w:val="en-GB"/>
        </w:rPr>
      </w:pPr>
      <w:r>
        <w:rPr>
          <w:lang w:val="en-GB"/>
        </w:rPr>
        <w:t xml:space="preserve">In [2], 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67151" w14:paraId="1F1620A4" w14:textId="77777777" w:rsidTr="00767151">
        <w:tc>
          <w:tcPr>
            <w:tcW w:w="9962" w:type="dxa"/>
          </w:tcPr>
          <w:p w14:paraId="71BB60A5" w14:textId="77777777" w:rsidR="001627B2" w:rsidRPr="001627B2" w:rsidRDefault="001627B2" w:rsidP="001627B2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hAnsi="Times New Roman"/>
              </w:rPr>
              <w:t>For FR2-1 WA SBFD BS, FFS re-use the current FR2-1 WA BS in-band blocking requirements.</w:t>
            </w:r>
          </w:p>
          <w:p w14:paraId="3C778F34" w14:textId="77777777" w:rsidR="001627B2" w:rsidRPr="001627B2" w:rsidRDefault="001627B2" w:rsidP="001627B2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hAnsi="Times New Roman"/>
              </w:rPr>
              <w:t xml:space="preserve">For FR1 WA BS, define </w:t>
            </w:r>
            <w:r w:rsidRPr="001627B2">
              <w:rPr>
                <w:rFonts w:ascii="Times New Roman" w:eastAsiaTheme="minorEastAsia" w:hAnsi="Times New Roman"/>
              </w:rPr>
              <w:t xml:space="preserve">the </w:t>
            </w:r>
            <w:r w:rsidRPr="001627B2">
              <w:rPr>
                <w:rFonts w:ascii="Times New Roman" w:hAnsi="Times New Roman"/>
              </w:rPr>
              <w:t>in-band blocking requirement, FFS on following options. Other options are not precluded.</w:t>
            </w:r>
          </w:p>
          <w:p w14:paraId="51BDA212" w14:textId="77777777" w:rsidR="001627B2" w:rsidRPr="001627B2" w:rsidRDefault="001627B2" w:rsidP="001627B2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hAnsi="Times New Roman"/>
              </w:rPr>
              <w:t xml:space="preserve">Option 1: Define the requirement by selecting one of the following grid-shift values. Additional </w:t>
            </w:r>
            <w:r w:rsidRPr="001627B2">
              <w:rPr>
                <w:rFonts w:ascii="Times New Roman" w:eastAsia="SimSun" w:hAnsi="Times New Roman"/>
                <w:szCs w:val="24"/>
              </w:rPr>
              <w:t>emission issue is not included in this release. If regulators make a decision to require SBFD on adjacent operators in a band, a future WI would address necessary emissions and blocking requirements for the SBFD-SBFD adjacent operator scenario</w:t>
            </w:r>
            <w:r w:rsidRPr="001627B2">
              <w:rPr>
                <w:rFonts w:ascii="Times New Roman" w:hAnsi="Times New Roman"/>
              </w:rPr>
              <w:t>.</w:t>
            </w:r>
          </w:p>
          <w:p w14:paraId="72FF60C1" w14:textId="77777777" w:rsidR="001627B2" w:rsidRPr="001627B2" w:rsidRDefault="001627B2" w:rsidP="001627B2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eastAsiaTheme="minorEastAsia" w:hAnsi="Times New Roman"/>
              </w:rPr>
              <w:t>Option A: 20%</w:t>
            </w:r>
          </w:p>
          <w:p w14:paraId="4A2FD29C" w14:textId="77777777" w:rsidR="001627B2" w:rsidRPr="001627B2" w:rsidRDefault="001627B2" w:rsidP="001627B2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eastAsiaTheme="minorEastAsia" w:hAnsi="Times New Roman"/>
              </w:rPr>
              <w:t>Option B: 50%</w:t>
            </w:r>
          </w:p>
          <w:p w14:paraId="27AF8650" w14:textId="77777777" w:rsidR="001627B2" w:rsidRPr="001627B2" w:rsidRDefault="001627B2" w:rsidP="001627B2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hAnsi="Times New Roman"/>
              </w:rPr>
              <w:t>Option 2: Define general requirements for SBFD-TDD adjacent operator scenario. Define a</w:t>
            </w:r>
            <w:r w:rsidRPr="001627B2">
              <w:rPr>
                <w:rFonts w:ascii="Times New Roman" w:eastAsiaTheme="minorEastAsia" w:hAnsi="Times New Roman"/>
              </w:rPr>
              <w:t>n</w:t>
            </w:r>
            <w:r w:rsidRPr="001627B2">
              <w:rPr>
                <w:rFonts w:ascii="Times New Roman" w:hAnsi="Times New Roman"/>
              </w:rPr>
              <w:t xml:space="preserve"> </w:t>
            </w:r>
            <w:r w:rsidRPr="001627B2">
              <w:rPr>
                <w:rFonts w:ascii="Times New Roman" w:eastAsiaTheme="minorEastAsia" w:hAnsi="Times New Roman"/>
              </w:rPr>
              <w:t>additional</w:t>
            </w:r>
            <w:r w:rsidRPr="001627B2">
              <w:rPr>
                <w:rFonts w:ascii="Times New Roman" w:hAnsi="Times New Roman"/>
              </w:rPr>
              <w:t xml:space="preserve"> in-band blocking requirement and additional emission to address SBFD-SBFD adjacent operator scenario.</w:t>
            </w:r>
          </w:p>
          <w:p w14:paraId="13C06429" w14:textId="77777777" w:rsidR="001627B2" w:rsidRPr="001627B2" w:rsidRDefault="001627B2" w:rsidP="001627B2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hAnsi="Times New Roman"/>
              </w:rPr>
              <w:t>Option 3: Define in-band blocking requirements based on co-existence simulation results with grid-shift 5%.</w:t>
            </w:r>
          </w:p>
          <w:p w14:paraId="56CF3C1B" w14:textId="77777777" w:rsidR="001627B2" w:rsidRPr="001627B2" w:rsidRDefault="001627B2" w:rsidP="001627B2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hAnsi="Times New Roman"/>
              </w:rPr>
            </w:pPr>
            <w:r w:rsidRPr="001627B2">
              <w:rPr>
                <w:rFonts w:ascii="Times New Roman" w:eastAsiaTheme="minorEastAsia" w:hAnsi="Times New Roman"/>
              </w:rPr>
              <w:t xml:space="preserve">Option 4: </w:t>
            </w:r>
            <w:r w:rsidRPr="001627B2">
              <w:rPr>
                <w:rFonts w:ascii="Times New Roman" w:hAnsi="Times New Roman"/>
              </w:rPr>
              <w:t xml:space="preserve">Define in-band blocking requirements based on co-existence simulation results with grid-shift </w:t>
            </w:r>
            <w:r w:rsidRPr="001627B2">
              <w:rPr>
                <w:rFonts w:ascii="Times New Roman" w:eastAsiaTheme="minorEastAsia" w:hAnsi="Times New Roman"/>
              </w:rPr>
              <w:t>100</w:t>
            </w:r>
            <w:r w:rsidRPr="001627B2">
              <w:rPr>
                <w:rFonts w:ascii="Times New Roman" w:hAnsi="Times New Roman"/>
              </w:rPr>
              <w:t>%.</w:t>
            </w:r>
          </w:p>
          <w:p w14:paraId="5B066323" w14:textId="3B9DC3E3" w:rsidR="00767151" w:rsidRPr="001627B2" w:rsidRDefault="001627B2" w:rsidP="001627B2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</w:pPr>
            <w:r w:rsidRPr="001627B2">
              <w:rPr>
                <w:rFonts w:ascii="Times New Roman" w:hAnsi="Times New Roman"/>
              </w:rPr>
              <w:t>For FR1 MR SBFD BS, FFS.</w:t>
            </w:r>
          </w:p>
        </w:tc>
      </w:tr>
    </w:tbl>
    <w:p w14:paraId="5A30BD21" w14:textId="2920F7D6" w:rsidR="00516597" w:rsidRDefault="00516597" w:rsidP="0091595A">
      <w:pPr>
        <w:jc w:val="both"/>
        <w:rPr>
          <w:b/>
          <w:bCs/>
          <w:lang w:val="en-GB"/>
        </w:rPr>
      </w:pPr>
      <w:r w:rsidRPr="00516597">
        <w:rPr>
          <w:b/>
          <w:bCs/>
          <w:lang w:val="en-GB"/>
        </w:rPr>
        <w:t xml:space="preserve"> </w:t>
      </w:r>
    </w:p>
    <w:p w14:paraId="36A9D438" w14:textId="6383B90A" w:rsidR="00FB30D0" w:rsidRDefault="00CB28D2" w:rsidP="0091595A">
      <w:pPr>
        <w:jc w:val="both"/>
        <w:rPr>
          <w:lang w:val="en-GB"/>
        </w:rPr>
      </w:pPr>
      <w:r>
        <w:rPr>
          <w:lang w:val="en-GB"/>
        </w:rPr>
        <w:t>For FR2-1 WA SBFD case, it is important to recall the adjacent channel coexistence work that was carried out in Rel-18 study item and summarized in TR 38.858. In particular the following case is of relevance to the discussion</w:t>
      </w:r>
      <w:r w:rsidR="00670A78">
        <w:rPr>
          <w:lang w:val="en-GB"/>
        </w:rPr>
        <w:t xml:space="preserve">, where the victim was </w:t>
      </w:r>
      <w:r w:rsidR="00670A78">
        <w:rPr>
          <w:lang w:val="en-GB"/>
        </w:rPr>
        <w:lastRenderedPageBreak/>
        <w:t xml:space="preserve">SBFD UL and aggressor was TDD DL. </w:t>
      </w:r>
      <w:r w:rsidR="00C27554">
        <w:rPr>
          <w:lang w:val="en-GB"/>
        </w:rPr>
        <w:t xml:space="preserve">Based on the adjacent channel coexistence, it was concluded that under baseline assumptions, no degradation on SBFD UL was observed for both cell edge and </w:t>
      </w:r>
      <w:r w:rsidR="00203B0B">
        <w:rPr>
          <w:lang w:val="en-GB"/>
        </w:rPr>
        <w:t xml:space="preserve">average performance. </w:t>
      </w:r>
    </w:p>
    <w:p w14:paraId="4A519983" w14:textId="3AFD301C" w:rsidR="00670A78" w:rsidRDefault="00670A78" w:rsidP="00670A78">
      <w:pPr>
        <w:jc w:val="center"/>
        <w:rPr>
          <w:lang w:val="en-GB"/>
        </w:rPr>
      </w:pPr>
      <w:r w:rsidRPr="00670A78">
        <w:rPr>
          <w:noProof/>
          <w:lang w:val="en-GB"/>
        </w:rPr>
        <w:drawing>
          <wp:inline distT="0" distB="0" distL="0" distR="0" wp14:anchorId="1E2B7738" wp14:editId="78EDCF08">
            <wp:extent cx="5375461" cy="1710002"/>
            <wp:effectExtent l="19050" t="19050" r="15875" b="24130"/>
            <wp:docPr id="619696593" name="Picture 1" descr="A white shee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696593" name="Picture 1" descr="A white sheet with black tex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9489" cy="17240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DC8A4E1" w14:textId="6927CAC0" w:rsidR="00CB28D2" w:rsidRPr="005247E5" w:rsidRDefault="00203B0B" w:rsidP="0091595A">
      <w:pPr>
        <w:jc w:val="both"/>
        <w:rPr>
          <w:b/>
          <w:bCs/>
          <w:lang w:val="en-GB"/>
        </w:rPr>
      </w:pPr>
      <w:r w:rsidRPr="005247E5">
        <w:rPr>
          <w:b/>
          <w:bCs/>
          <w:u w:val="single"/>
          <w:lang w:val="en-GB"/>
        </w:rPr>
        <w:t>Observation 1</w:t>
      </w:r>
      <w:r w:rsidRPr="005247E5">
        <w:rPr>
          <w:b/>
          <w:bCs/>
          <w:lang w:val="en-GB"/>
        </w:rPr>
        <w:t xml:space="preserve">: For FR2-1, based on conclusions in TR 38.858, for TDD DL interfering on SBFD UL, no degradation was observed for cell edge and average user under baseline assumptions. </w:t>
      </w:r>
    </w:p>
    <w:p w14:paraId="5CE067D2" w14:textId="2E97DCD5" w:rsidR="00B803FA" w:rsidRDefault="00203B0B" w:rsidP="00B803FA">
      <w:r>
        <w:rPr>
          <w:lang w:val="en-GB"/>
        </w:rPr>
        <w:t xml:space="preserve">Moreover, following the same </w:t>
      </w:r>
      <w:r w:rsidR="008254FE">
        <w:rPr>
          <w:lang w:val="en-GB"/>
        </w:rPr>
        <w:t>framework to determine the in-band blocking value for FR2-1 WA BS, we have run adjacent channel coexistence simulations considering TDD DL interfering on SBFD UL assuming baseline assumptions, following that of TR</w:t>
      </w:r>
      <w:r w:rsidR="00E66116">
        <w:rPr>
          <w:lang w:val="en-GB"/>
        </w:rPr>
        <w:t xml:space="preserve"> 38.858. The metric of interest is </w:t>
      </w:r>
      <w:r w:rsidR="008254FE">
        <w:t>the</w:t>
      </w:r>
      <w:r w:rsidR="00E66116">
        <w:t xml:space="preserve"> CDF of the</w:t>
      </w:r>
      <w:r w:rsidR="008254FE">
        <w:t xml:space="preserve"> absolute power level of interference from adjacent channel</w:t>
      </w:r>
      <w:r w:rsidR="00E66116">
        <w:t xml:space="preserve"> and </w:t>
      </w:r>
      <w:r w:rsidR="00C22926">
        <w:t>particularly</w:t>
      </w:r>
      <w:r w:rsidR="00E66116">
        <w:t xml:space="preserve"> focusing on the 99% </w:t>
      </w:r>
      <w:r w:rsidR="00205C18">
        <w:t xml:space="preserve">percentile point of the curve. </w:t>
      </w:r>
      <w:r w:rsidR="00205C18">
        <w:rPr>
          <w:lang w:eastAsia="ja-JP"/>
        </w:rPr>
        <w:t>Based on our findings, it was observed that the 99% assuming 50% grid shift is around -65 dBm</w:t>
      </w:r>
      <w:r w:rsidR="00D564B2">
        <w:rPr>
          <w:lang w:eastAsia="ja-JP"/>
        </w:rPr>
        <w:t xml:space="preserve">. Note that the OTA in-band </w:t>
      </w:r>
      <w:r w:rsidR="00104C41">
        <w:rPr>
          <w:lang w:eastAsia="ja-JP"/>
        </w:rPr>
        <w:t>blocking requirement</w:t>
      </w:r>
      <w:r w:rsidR="00205C18">
        <w:rPr>
          <w:lang w:eastAsia="ja-JP"/>
        </w:rPr>
        <w:t xml:space="preserve"> given in </w:t>
      </w:r>
      <w:r w:rsidR="00E74204" w:rsidRPr="00E74204">
        <w:rPr>
          <w:lang w:eastAsia="ja-JP"/>
        </w:rPr>
        <w:t>Table 10.5.2.3-1</w:t>
      </w:r>
      <w:r w:rsidR="00E74204">
        <w:rPr>
          <w:lang w:eastAsia="ja-JP"/>
        </w:rPr>
        <w:t xml:space="preserve"> in TS 38.104</w:t>
      </w:r>
      <w:r w:rsidR="00D564B2">
        <w:rPr>
          <w:lang w:eastAsia="ja-JP"/>
        </w:rPr>
        <w:t>, will result in interfering signal mean power equal to -62 dBm</w:t>
      </w:r>
      <w:r w:rsidR="00C22926">
        <w:rPr>
          <w:lang w:eastAsia="ja-JP"/>
        </w:rPr>
        <w:t xml:space="preserve"> assuming 200MHz channel bandwidth. </w:t>
      </w:r>
      <w:r w:rsidR="00B803FA">
        <w:rPr>
          <w:lang w:eastAsia="ja-JP"/>
        </w:rPr>
        <w:t xml:space="preserve">Thus, it is a viable way forward to reuse legacy </w:t>
      </w:r>
      <w:r w:rsidR="00B803FA" w:rsidRPr="001627B2">
        <w:t>FR2-1 WA BS in-band blocking requirements</w:t>
      </w:r>
      <w:r w:rsidR="00B803FA">
        <w:t xml:space="preserve"> for the SBFD-capable </w:t>
      </w:r>
      <w:proofErr w:type="spellStart"/>
      <w:r w:rsidR="00B803FA">
        <w:t>gNB</w:t>
      </w:r>
      <w:proofErr w:type="spellEnd"/>
      <w:r w:rsidR="00B803FA">
        <w:t>.</w:t>
      </w:r>
    </w:p>
    <w:p w14:paraId="75418E65" w14:textId="2829CBC7" w:rsidR="005247E5" w:rsidRPr="008A78C9" w:rsidRDefault="005247E5" w:rsidP="00B803FA">
      <w:pPr>
        <w:rPr>
          <w:b/>
          <w:bCs/>
        </w:rPr>
      </w:pPr>
      <w:r w:rsidRPr="008A78C9">
        <w:rPr>
          <w:b/>
          <w:bCs/>
          <w:u w:val="single"/>
        </w:rPr>
        <w:t xml:space="preserve">Observation </w:t>
      </w:r>
      <w:r w:rsidR="008A78C9">
        <w:rPr>
          <w:b/>
          <w:bCs/>
          <w:u w:val="single"/>
        </w:rPr>
        <w:t>2</w:t>
      </w:r>
      <w:r w:rsidRPr="008A78C9">
        <w:rPr>
          <w:b/>
          <w:bCs/>
        </w:rPr>
        <w:t xml:space="preserve">: Based on baseline simulation assumptions captured in TR 38.858 and 50% grid shift, the 99% </w:t>
      </w:r>
      <w:r w:rsidR="00D8223E" w:rsidRPr="008A78C9">
        <w:rPr>
          <w:b/>
          <w:bCs/>
        </w:rPr>
        <w:t xml:space="preserve">CDF of the total received interference power for FR2-1 WA is observed to be -65 dBm. </w:t>
      </w:r>
    </w:p>
    <w:p w14:paraId="0308890B" w14:textId="2818A6DE" w:rsidR="00D8223E" w:rsidRDefault="00D8223E" w:rsidP="00B803FA">
      <w:pPr>
        <w:rPr>
          <w:b/>
          <w:bCs/>
        </w:rPr>
      </w:pPr>
      <w:r w:rsidRPr="008A78C9">
        <w:rPr>
          <w:b/>
          <w:bCs/>
          <w:u w:val="single"/>
        </w:rPr>
        <w:t>Proposal 1</w:t>
      </w:r>
      <w:r w:rsidRPr="008A78C9">
        <w:rPr>
          <w:b/>
          <w:bCs/>
        </w:rPr>
        <w:t xml:space="preserve">: Based on our simulation findings, </w:t>
      </w:r>
      <w:r w:rsidR="008A78C9" w:rsidRPr="008A78C9">
        <w:rPr>
          <w:b/>
          <w:bCs/>
        </w:rPr>
        <w:t xml:space="preserve">RAN4 to reuse legacy FR2-1 WA BS in-band blocking requirement given in Section 10.5.2.3 in TS 38.104. </w:t>
      </w:r>
    </w:p>
    <w:p w14:paraId="3C6C0CFD" w14:textId="3B8BB9D2" w:rsidR="00515DA5" w:rsidRDefault="00E076DB" w:rsidP="00B803FA">
      <w:pPr>
        <w:rPr>
          <w:b/>
          <w:bCs/>
        </w:rPr>
      </w:pPr>
      <w:r>
        <w:rPr>
          <w:lang w:val="en-GB"/>
        </w:rPr>
        <w:t xml:space="preserve">Regarding the in-band blocking requirements for FR1 WA BS, we believe that SBFD is a key </w:t>
      </w:r>
      <w:r w:rsidR="00B81069">
        <w:rPr>
          <w:lang w:val="en-GB"/>
        </w:rPr>
        <w:t xml:space="preserve">feature for future deployments, especially in new TDD bands, thus, SBFD-SBFD coexistence should be considered and thus, RAN4 has to define </w:t>
      </w:r>
      <w:r w:rsidR="00B81069" w:rsidRPr="001627B2">
        <w:t>general requirements for SBFD-TDD adjacent operator scenario</w:t>
      </w:r>
      <w:r w:rsidR="00266A85">
        <w:t xml:space="preserve">, based on </w:t>
      </w:r>
      <w:r w:rsidR="009B62C9">
        <w:t>ongoing discussions while also d</w:t>
      </w:r>
      <w:r w:rsidR="00B81069" w:rsidRPr="001627B2">
        <w:t>efin</w:t>
      </w:r>
      <w:r w:rsidR="009B62C9">
        <w:t>ing</w:t>
      </w:r>
      <w:r w:rsidR="00B81069" w:rsidRPr="001627B2">
        <w:t xml:space="preserve"> a</w:t>
      </w:r>
      <w:r w:rsidR="00B81069" w:rsidRPr="001627B2">
        <w:rPr>
          <w:rFonts w:eastAsiaTheme="minorEastAsia"/>
          <w:lang w:eastAsia="zh-CN"/>
        </w:rPr>
        <w:t>n</w:t>
      </w:r>
      <w:r w:rsidR="00B81069" w:rsidRPr="001627B2">
        <w:t xml:space="preserve"> </w:t>
      </w:r>
      <w:r w:rsidR="00B81069" w:rsidRPr="001627B2">
        <w:rPr>
          <w:rFonts w:eastAsiaTheme="minorEastAsia"/>
          <w:lang w:eastAsia="zh-CN"/>
        </w:rPr>
        <w:t>additional</w:t>
      </w:r>
      <w:r w:rsidR="00B81069" w:rsidRPr="001627B2">
        <w:t xml:space="preserve"> in-band blocking requirement and additional emission to address SBFD-SBFD adjacent operator scenario</w:t>
      </w:r>
      <w:r w:rsidR="009B62C9">
        <w:t xml:space="preserve">. The latter is important to ensure that Rel-19 work is robust for SBFD deployments in the future. </w:t>
      </w:r>
      <w:r w:rsidR="009B62C9">
        <w:br/>
      </w:r>
      <w:r w:rsidR="009B62C9" w:rsidRPr="009B62C9">
        <w:rPr>
          <w:b/>
          <w:bCs/>
        </w:rPr>
        <w:br/>
      </w:r>
      <w:r w:rsidR="009B62C9" w:rsidRPr="009B62C9">
        <w:rPr>
          <w:b/>
          <w:bCs/>
          <w:u w:val="single"/>
        </w:rPr>
        <w:t>Proposal 2</w:t>
      </w:r>
      <w:r w:rsidR="009B62C9" w:rsidRPr="009B62C9">
        <w:rPr>
          <w:b/>
          <w:bCs/>
        </w:rPr>
        <w:t>: RAN4 to adopt option 2 from RAN4#114 WF, where RAN4 to define general requirements for SBFD-TDD adjacent operator scenario. Define an additional in-band blocking requirement and additional emission to address SBFD-SBFD adjacent operator scenario.</w:t>
      </w:r>
    </w:p>
    <w:p w14:paraId="78DCEB1E" w14:textId="58728B7A" w:rsidR="006B25A1" w:rsidRPr="00460339" w:rsidRDefault="00876FF7" w:rsidP="003927E4">
      <w:pPr>
        <w:rPr>
          <w:b/>
          <w:bCs/>
          <w:lang w:eastAsia="ja-JP"/>
        </w:rPr>
      </w:pPr>
      <w:r w:rsidRPr="00876FF7">
        <w:rPr>
          <w:lang w:val="en-GB"/>
        </w:rPr>
        <w:t>Regarding</w:t>
      </w:r>
      <w:r w:rsidR="000E5ABE">
        <w:rPr>
          <w:lang w:val="en-GB"/>
        </w:rPr>
        <w:t xml:space="preserve"> SBFD-TDD in-band blocking requirements, </w:t>
      </w:r>
      <w:r w:rsidR="000E6B0A">
        <w:t>in</w:t>
      </w:r>
      <w:r w:rsidR="006B25A1">
        <w:t xml:space="preserve"> our previous contribution (</w:t>
      </w:r>
      <w:r w:rsidR="000E6B0A" w:rsidRPr="000E6B0A">
        <w:t>R4-2411514</w:t>
      </w:r>
      <w:r w:rsidR="006B25A1">
        <w:t>), we have provided our in-band blocking requirement for 50% GS around -26 dB, considering AAS configuration considering two panels with 46 dBm conducted power per polarization</w:t>
      </w:r>
      <w:r w:rsidR="003927E4">
        <w:t xml:space="preserve">. Regarding discussion on Grid shifts, we propose to </w:t>
      </w:r>
      <w:r w:rsidR="000934C2">
        <w:t xml:space="preserve">define the new requirement considering 50% grid shift since it presents a compromise between the two extremes being discussed currently in RAN4. </w:t>
      </w:r>
      <w:r w:rsidR="00A606F9">
        <w:t xml:space="preserve">With such assumptions, our simulation results showed that -26 dBm would be a reasonable new in-band requirement for SBFD-capable </w:t>
      </w:r>
      <w:proofErr w:type="spellStart"/>
      <w:r w:rsidR="00A606F9">
        <w:t>gNB</w:t>
      </w:r>
      <w:proofErr w:type="spellEnd"/>
      <w:r w:rsidR="00A606F9">
        <w:t xml:space="preserve">. </w:t>
      </w:r>
    </w:p>
    <w:p w14:paraId="262F254B" w14:textId="4FD39EC0" w:rsidR="00876FF7" w:rsidRPr="007C1821" w:rsidRDefault="00DC6331" w:rsidP="00B803FA">
      <w:pPr>
        <w:rPr>
          <w:b/>
          <w:bCs/>
        </w:rPr>
      </w:pPr>
      <w:r w:rsidRPr="007C1821">
        <w:rPr>
          <w:b/>
          <w:bCs/>
          <w:u w:val="single"/>
        </w:rPr>
        <w:t>Proposal 3</w:t>
      </w:r>
      <w:r w:rsidRPr="007C1821">
        <w:rPr>
          <w:b/>
          <w:bCs/>
        </w:rPr>
        <w:t>: RAN4 to consider grid shift</w:t>
      </w:r>
      <w:r w:rsidR="00F6075E" w:rsidRPr="007C1821">
        <w:rPr>
          <w:b/>
          <w:bCs/>
        </w:rPr>
        <w:t xml:space="preserve"> values between 20% and 50% when defining the in-band blocking requirements for </w:t>
      </w:r>
      <w:r w:rsidR="007C1821" w:rsidRPr="007C1821">
        <w:rPr>
          <w:b/>
          <w:bCs/>
        </w:rPr>
        <w:t xml:space="preserve">SBFD-TDD coexistence case. </w:t>
      </w:r>
    </w:p>
    <w:p w14:paraId="741DBA62" w14:textId="6E640BCB" w:rsidR="00CB2361" w:rsidRDefault="00CB2361">
      <w:pPr>
        <w:pStyle w:val="Heading2"/>
      </w:pPr>
      <w:r>
        <w:t>ACS</w:t>
      </w:r>
    </w:p>
    <w:p w14:paraId="27F25022" w14:textId="4CBCB8F4" w:rsidR="00CB2361" w:rsidRDefault="00CB2361" w:rsidP="00CB2361">
      <w:pPr>
        <w:rPr>
          <w:lang w:val="en-GB"/>
        </w:rPr>
      </w:pPr>
      <w:r>
        <w:rPr>
          <w:lang w:val="en-GB"/>
        </w:rPr>
        <w:t>In [2] the following was agreed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B2361" w14:paraId="4B85F30D" w14:textId="77777777" w:rsidTr="00CB2361">
        <w:tc>
          <w:tcPr>
            <w:tcW w:w="9962" w:type="dxa"/>
          </w:tcPr>
          <w:p w14:paraId="47BAB433" w14:textId="77777777" w:rsidR="0093261C" w:rsidRPr="003707FD" w:rsidRDefault="0093261C" w:rsidP="0093261C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t>FFS on the following proposals.</w:t>
            </w:r>
          </w:p>
          <w:p w14:paraId="609FEDA4" w14:textId="77777777" w:rsidR="0093261C" w:rsidRPr="003707FD" w:rsidRDefault="0093261C" w:rsidP="0093261C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ascii="Times New Roman" w:eastAsia="SimSun" w:hAnsi="Times New Roman"/>
                <w:szCs w:val="24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lastRenderedPageBreak/>
              <w:t>Proposal 1: Prioritize discussing the scenarios under non-colocation case first.</w:t>
            </w:r>
          </w:p>
          <w:p w14:paraId="726C9E51" w14:textId="77777777" w:rsidR="0093261C" w:rsidRPr="003707FD" w:rsidRDefault="0093261C" w:rsidP="0093261C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ascii="Times New Roman" w:eastAsia="SimSun" w:hAnsi="Times New Roman"/>
                <w:szCs w:val="24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t>Proposal 2: The same definition of ACS could be reused for SBFD, and the interference level of [9] dB offset should be further checked.</w:t>
            </w:r>
          </w:p>
          <w:p w14:paraId="4C027F4A" w14:textId="77777777" w:rsidR="0093261C" w:rsidRPr="003707FD" w:rsidRDefault="0093261C" w:rsidP="0093261C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ascii="Times New Roman" w:eastAsia="SimSun" w:hAnsi="Times New Roman"/>
                <w:szCs w:val="24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t>Proposal 3: The definition of ACS is reused for SBFD. The interference level keeps 9 dB offset to the general in-band blocking interference level defined for SBFD.</w:t>
            </w:r>
          </w:p>
          <w:p w14:paraId="16DA0916" w14:textId="77777777" w:rsidR="0093261C" w:rsidRPr="003707FD" w:rsidRDefault="0093261C" w:rsidP="0093261C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ascii="Times New Roman" w:eastAsia="SimSun" w:hAnsi="Times New Roman"/>
                <w:szCs w:val="24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t xml:space="preserve">Proposal 4: </w:t>
            </w:r>
            <w:r w:rsidRPr="003707FD">
              <w:rPr>
                <w:rFonts w:ascii="Times New Roman" w:hAnsi="Times New Roman"/>
                <w:color w:val="000000" w:themeColor="text1"/>
              </w:rPr>
              <w:t>It is needed to determine whether interference signal level of BS to BS can be defined as ACS interference signal level.</w:t>
            </w:r>
          </w:p>
          <w:p w14:paraId="459B443E" w14:textId="77777777" w:rsidR="0093261C" w:rsidRPr="003707FD" w:rsidRDefault="0093261C" w:rsidP="0093261C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ascii="Times New Roman" w:eastAsia="SimSun" w:hAnsi="Times New Roman"/>
                <w:szCs w:val="24"/>
              </w:rPr>
            </w:pPr>
            <w:bookmarkStart w:id="5" w:name="_Toc181956193"/>
            <w:r w:rsidRPr="003707FD">
              <w:rPr>
                <w:rFonts w:ascii="Times New Roman" w:eastAsia="SimSun" w:hAnsi="Times New Roman"/>
                <w:szCs w:val="24"/>
              </w:rPr>
              <w:t xml:space="preserve">Proposal 5: </w:t>
            </w:r>
            <w:r w:rsidRPr="003707FD">
              <w:rPr>
                <w:rFonts w:ascii="Times New Roman" w:hAnsi="Times New Roman"/>
                <w:lang w:eastAsia="ja-JP"/>
              </w:rPr>
              <w:t>The requirement level of ACS should be derived from the BS-BS co-existence simulation results obtained in SI, instead of keeping 9 dB offset to the general in-band blocking interference level defined for SBFD</w:t>
            </w:r>
            <w:r w:rsidRPr="003707FD">
              <w:rPr>
                <w:rFonts w:ascii="Times New Roman" w:eastAsiaTheme="minorEastAsia" w:hAnsi="Times New Roman"/>
              </w:rPr>
              <w:t>.</w:t>
            </w:r>
            <w:bookmarkEnd w:id="5"/>
          </w:p>
          <w:p w14:paraId="7095E1A7" w14:textId="77777777" w:rsidR="0093261C" w:rsidRPr="003707FD" w:rsidRDefault="0093261C" w:rsidP="0093261C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ascii="Times New Roman" w:eastAsia="SimSun" w:hAnsi="Times New Roman"/>
                <w:szCs w:val="24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t xml:space="preserve">Proposal 6: </w:t>
            </w:r>
            <w:bookmarkStart w:id="6" w:name="_Toc189813542"/>
            <w:r w:rsidRPr="003707FD">
              <w:rPr>
                <w:rFonts w:ascii="Times New Roman" w:hAnsi="Times New Roman"/>
                <w:lang w:eastAsia="ja-JP"/>
              </w:rPr>
              <w:t>Derive ACS requirement level based on the simulation results using 5% GS in SI</w:t>
            </w:r>
            <w:bookmarkEnd w:id="6"/>
            <w:r w:rsidRPr="003707FD">
              <w:rPr>
                <w:rFonts w:ascii="Times New Roman" w:eastAsiaTheme="minorEastAsia" w:hAnsi="Times New Roman"/>
              </w:rPr>
              <w:t>.</w:t>
            </w:r>
          </w:p>
          <w:p w14:paraId="7CBBCBCA" w14:textId="4488E48D" w:rsidR="00CB2361" w:rsidRPr="0093261C" w:rsidRDefault="0093261C" w:rsidP="00CB2361">
            <w:pPr>
              <w:pStyle w:val="ListParagraph"/>
              <w:numPr>
                <w:ilvl w:val="1"/>
                <w:numId w:val="36"/>
              </w:numPr>
              <w:spacing w:after="120" w:line="259" w:lineRule="auto"/>
              <w:rPr>
                <w:rFonts w:eastAsia="SimSun"/>
                <w:szCs w:val="24"/>
              </w:rPr>
            </w:pPr>
            <w:r w:rsidRPr="003707FD">
              <w:rPr>
                <w:rFonts w:ascii="Times New Roman" w:eastAsia="SimSun" w:hAnsi="Times New Roman"/>
                <w:szCs w:val="24"/>
              </w:rPr>
              <w:t>Proposal 7:</w:t>
            </w:r>
            <w:r w:rsidRPr="003707FD">
              <w:rPr>
                <w:rFonts w:ascii="Times New Roman" w:hAnsi="Times New Roman"/>
              </w:rPr>
              <w:t xml:space="preserve"> </w:t>
            </w:r>
            <w:r w:rsidRPr="003707FD">
              <w:rPr>
                <w:rFonts w:ascii="Times New Roman" w:eastAsia="SimSun" w:hAnsi="Times New Roman"/>
                <w:szCs w:val="24"/>
              </w:rPr>
              <w:t>The OTA sensitivity degradation should be taken into account for the baseline REFSENS for OTA ACS requirement and should not be taken into account when testing conducted ACS.</w:t>
            </w:r>
          </w:p>
        </w:tc>
      </w:tr>
    </w:tbl>
    <w:p w14:paraId="305CDD21" w14:textId="77777777" w:rsidR="00CB2361" w:rsidRDefault="00CB2361" w:rsidP="00CB2361">
      <w:pPr>
        <w:rPr>
          <w:lang w:val="en-GB"/>
        </w:rPr>
      </w:pPr>
    </w:p>
    <w:p w14:paraId="5C3EAF7E" w14:textId="4125D9A0" w:rsidR="003707FD" w:rsidRDefault="0034488A" w:rsidP="008F2AF1">
      <w:pPr>
        <w:rPr>
          <w:lang w:val="en-GB"/>
        </w:rPr>
      </w:pPr>
      <w:r>
        <w:rPr>
          <w:lang w:val="en-GB"/>
        </w:rPr>
        <w:t>In contrary</w:t>
      </w:r>
      <w:r w:rsidR="006E7E46">
        <w:rPr>
          <w:lang w:val="en-GB"/>
        </w:rPr>
        <w:t xml:space="preserve"> to the ACLR discussion in Rel-19, </w:t>
      </w:r>
      <w:r>
        <w:rPr>
          <w:lang w:val="en-GB"/>
        </w:rPr>
        <w:t xml:space="preserve">no need to distinguish between SBFD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coexisting with legacy TDD or with SBFD in the adjacent channel</w:t>
      </w:r>
      <w:r w:rsidR="002051DE">
        <w:rPr>
          <w:lang w:val="en-GB"/>
        </w:rPr>
        <w:t xml:space="preserve">, when considering the ACS requirement. From coexistence point of view, </w:t>
      </w:r>
      <w:r w:rsidR="00324BCF">
        <w:rPr>
          <w:lang w:val="en-GB"/>
        </w:rPr>
        <w:t xml:space="preserve">case 3 should be considered as a good reference to understand the impact of the adjacent channel interference while considering the legacy ACLR/ACS. Based on the outcome of the coexistence results, we can </w:t>
      </w:r>
      <w:r w:rsidR="00530FAE">
        <w:rPr>
          <w:lang w:val="en-GB"/>
        </w:rPr>
        <w:t>consider</w:t>
      </w:r>
      <w:r w:rsidR="00324BCF">
        <w:rPr>
          <w:lang w:val="en-GB"/>
        </w:rPr>
        <w:t xml:space="preserve"> case </w:t>
      </w:r>
      <w:r w:rsidR="00530FAE">
        <w:rPr>
          <w:lang w:val="en-GB"/>
        </w:rPr>
        <w:t xml:space="preserve">3 </w:t>
      </w:r>
      <w:r w:rsidR="00324BCF">
        <w:rPr>
          <w:lang w:val="en-GB"/>
        </w:rPr>
        <w:t>(i.e.,</w:t>
      </w:r>
      <w:r w:rsidR="00E14467">
        <w:rPr>
          <w:lang w:val="en-GB"/>
        </w:rPr>
        <w:t xml:space="preserve"> </w:t>
      </w:r>
      <w:r w:rsidR="00E14467">
        <w:t>Case 3: aggressor NR TDD DL victim SBFD DU</w:t>
      </w:r>
      <w:r w:rsidR="00324BCF">
        <w:rPr>
          <w:lang w:val="en-GB"/>
        </w:rPr>
        <w:t>),</w:t>
      </w:r>
      <w:r w:rsidR="00E14467">
        <w:rPr>
          <w:lang w:val="en-GB"/>
        </w:rPr>
        <w:t xml:space="preserve"> as a starting point to understand the target ACS</w:t>
      </w:r>
      <w:r w:rsidR="00461785">
        <w:rPr>
          <w:lang w:val="en-GB"/>
        </w:rPr>
        <w:t>, with starting with 9 dB offset relative to the in-band blocking requirement</w:t>
      </w:r>
      <w:r w:rsidR="00E14467">
        <w:rPr>
          <w:lang w:val="en-GB"/>
        </w:rPr>
        <w:t>. Note that from ACIR point of view, ACIR enhancement will be limited by legacy TDD BS ACLR. Nevertheless, the same definition of ACS should be used for SBFD</w:t>
      </w:r>
      <w:r w:rsidR="008F2AF1">
        <w:rPr>
          <w:lang w:val="en-GB"/>
        </w:rPr>
        <w:t xml:space="preserve">. </w:t>
      </w:r>
      <w:r w:rsidR="00324BCF">
        <w:rPr>
          <w:lang w:val="en-GB"/>
        </w:rPr>
        <w:t xml:space="preserve"> </w:t>
      </w:r>
    </w:p>
    <w:p w14:paraId="61806F9F" w14:textId="43B548D4" w:rsidR="008F2AF1" w:rsidRPr="00461785" w:rsidRDefault="008F2AF1" w:rsidP="008F2AF1">
      <w:pPr>
        <w:rPr>
          <w:b/>
          <w:bCs/>
          <w:lang w:val="en-GB"/>
        </w:rPr>
      </w:pPr>
      <w:r w:rsidRPr="00461785">
        <w:rPr>
          <w:b/>
          <w:bCs/>
          <w:u w:val="single"/>
          <w:lang w:val="en-GB"/>
        </w:rPr>
        <w:t>Proposal 4</w:t>
      </w:r>
      <w:r w:rsidRPr="00461785">
        <w:rPr>
          <w:b/>
          <w:bCs/>
          <w:lang w:val="en-GB"/>
        </w:rPr>
        <w:t xml:space="preserve">: RAN4 to adopt the same definition of ACS for SBFD. Case 3 in TR 38.858 could be adopted to investigate the feasibility of </w:t>
      </w:r>
      <w:r w:rsidR="00461785" w:rsidRPr="00461785">
        <w:rPr>
          <w:b/>
          <w:bCs/>
          <w:lang w:val="en-GB"/>
        </w:rPr>
        <w:t>9</w:t>
      </w:r>
      <w:r w:rsidRPr="00461785">
        <w:rPr>
          <w:b/>
          <w:bCs/>
          <w:lang w:val="en-GB"/>
        </w:rPr>
        <w:t xml:space="preserve"> dB offset </w:t>
      </w:r>
      <w:r w:rsidR="00461785" w:rsidRPr="00461785">
        <w:rPr>
          <w:b/>
          <w:bCs/>
          <w:lang w:val="en-GB"/>
        </w:rPr>
        <w:t xml:space="preserve">relative </w:t>
      </w:r>
      <w:r w:rsidRPr="00461785">
        <w:rPr>
          <w:b/>
          <w:bCs/>
          <w:lang w:val="en-GB"/>
        </w:rPr>
        <w:t xml:space="preserve">to </w:t>
      </w:r>
      <w:r w:rsidR="00461785" w:rsidRPr="00461785">
        <w:rPr>
          <w:b/>
          <w:bCs/>
          <w:lang w:val="en-GB"/>
        </w:rPr>
        <w:t xml:space="preserve">the </w:t>
      </w:r>
      <w:r w:rsidRPr="00461785">
        <w:rPr>
          <w:b/>
          <w:bCs/>
          <w:lang w:val="en-GB"/>
        </w:rPr>
        <w:t>in-band blocking requirement</w:t>
      </w:r>
      <w:r w:rsidR="00461785" w:rsidRPr="00461785">
        <w:rPr>
          <w:b/>
          <w:bCs/>
          <w:lang w:val="en-GB"/>
        </w:rPr>
        <w:t xml:space="preserve">. </w:t>
      </w:r>
      <w:r w:rsidRPr="00461785">
        <w:rPr>
          <w:b/>
          <w:bCs/>
          <w:lang w:val="en-GB"/>
        </w:rPr>
        <w:t xml:space="preserve"> 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2669ACB9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requirements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01111F55" w14:textId="77777777" w:rsidR="008A78C9" w:rsidRDefault="008A78C9" w:rsidP="008A78C9">
      <w:pPr>
        <w:jc w:val="both"/>
        <w:rPr>
          <w:b/>
          <w:bCs/>
          <w:lang w:val="en-GB"/>
        </w:rPr>
      </w:pPr>
      <w:r w:rsidRPr="005247E5">
        <w:rPr>
          <w:b/>
          <w:bCs/>
          <w:u w:val="single"/>
          <w:lang w:val="en-GB"/>
        </w:rPr>
        <w:t>Observation 1</w:t>
      </w:r>
      <w:r w:rsidRPr="005247E5">
        <w:rPr>
          <w:b/>
          <w:bCs/>
          <w:lang w:val="en-GB"/>
        </w:rPr>
        <w:t xml:space="preserve">: For FR2-1, based on conclusions in TR 38.858, for TDD DL interfering on SBFD UL, no degradation was observed for cell edge and average user under baseline assumptions. </w:t>
      </w:r>
    </w:p>
    <w:p w14:paraId="1BEF6D21" w14:textId="77777777" w:rsidR="008A78C9" w:rsidRPr="008A78C9" w:rsidRDefault="008A78C9" w:rsidP="008A78C9">
      <w:pPr>
        <w:rPr>
          <w:b/>
          <w:bCs/>
        </w:rPr>
      </w:pPr>
      <w:r w:rsidRPr="008A78C9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 w:rsidRPr="008A78C9">
        <w:rPr>
          <w:b/>
          <w:bCs/>
        </w:rPr>
        <w:t xml:space="preserve">: Based on baseline simulation assumptions captured in TR 38.858 and 50% grid shift, the 99% CDF of the total received interference power for FR2-1 WA is observed to be -65 dBm. </w:t>
      </w:r>
    </w:p>
    <w:p w14:paraId="6BE4C39C" w14:textId="77777777" w:rsidR="00BD6094" w:rsidRDefault="008A78C9" w:rsidP="008A78C9">
      <w:pPr>
        <w:rPr>
          <w:b/>
          <w:bCs/>
        </w:rPr>
      </w:pPr>
      <w:r w:rsidRPr="008A78C9">
        <w:rPr>
          <w:b/>
          <w:bCs/>
          <w:u w:val="single"/>
        </w:rPr>
        <w:t>Proposal 1</w:t>
      </w:r>
      <w:r w:rsidRPr="008A78C9">
        <w:rPr>
          <w:b/>
          <w:bCs/>
        </w:rPr>
        <w:t>: Based on our simulation findings, RAN4 to reuse legacy FR2-1 WA BS in-band blocking requirement given in Section 10.5.2.3 in TS 38.</w:t>
      </w:r>
      <w:r w:rsidR="00BD6094">
        <w:rPr>
          <w:b/>
          <w:bCs/>
        </w:rPr>
        <w:t>104</w:t>
      </w:r>
      <w:r w:rsidRPr="008A78C9">
        <w:rPr>
          <w:b/>
          <w:bCs/>
        </w:rPr>
        <w:t>.</w:t>
      </w:r>
    </w:p>
    <w:p w14:paraId="6BE35C19" w14:textId="423130C2" w:rsidR="008A78C9" w:rsidRDefault="00BD6094" w:rsidP="008A78C9">
      <w:pPr>
        <w:rPr>
          <w:b/>
          <w:bCs/>
        </w:rPr>
      </w:pPr>
      <w:r w:rsidRPr="009B62C9">
        <w:rPr>
          <w:b/>
          <w:bCs/>
          <w:u w:val="single"/>
        </w:rPr>
        <w:t>Proposal 2</w:t>
      </w:r>
      <w:r w:rsidRPr="009B62C9">
        <w:rPr>
          <w:b/>
          <w:bCs/>
        </w:rPr>
        <w:t>: RAN4 to adopt option 2 from RAN4#114 WF, where RAN4 to define general requirements for SBFD-TDD adjacent operator scenario. Define an additional in-band blocking requirement and additional emission to address SBFD-SBFD adjacent operator scenario.</w:t>
      </w:r>
      <w:r w:rsidR="008A78C9" w:rsidRPr="008A78C9">
        <w:rPr>
          <w:b/>
          <w:bCs/>
        </w:rPr>
        <w:t xml:space="preserve"> </w:t>
      </w:r>
    </w:p>
    <w:p w14:paraId="4192BA85" w14:textId="77777777" w:rsidR="00D77990" w:rsidRPr="007C1821" w:rsidRDefault="00D77990" w:rsidP="00D77990">
      <w:pPr>
        <w:rPr>
          <w:b/>
          <w:bCs/>
        </w:rPr>
      </w:pPr>
      <w:r w:rsidRPr="007C1821">
        <w:rPr>
          <w:b/>
          <w:bCs/>
          <w:u w:val="single"/>
        </w:rPr>
        <w:t>Proposal 3</w:t>
      </w:r>
      <w:r w:rsidRPr="007C1821">
        <w:rPr>
          <w:b/>
          <w:bCs/>
        </w:rPr>
        <w:t xml:space="preserve">: RAN4 to consider grid shift values between 20% and 50% when defining the in-band blocking requirements for SBFD-TDD coexistence case. </w:t>
      </w:r>
    </w:p>
    <w:p w14:paraId="78B2918C" w14:textId="77777777" w:rsidR="00D77990" w:rsidRPr="00461785" w:rsidRDefault="00D77990" w:rsidP="00D77990">
      <w:pPr>
        <w:rPr>
          <w:b/>
          <w:bCs/>
          <w:lang w:val="en-GB"/>
        </w:rPr>
      </w:pPr>
      <w:r w:rsidRPr="00461785">
        <w:rPr>
          <w:b/>
          <w:bCs/>
          <w:u w:val="single"/>
          <w:lang w:val="en-GB"/>
        </w:rPr>
        <w:t>Proposal 4</w:t>
      </w:r>
      <w:r w:rsidRPr="00461785">
        <w:rPr>
          <w:b/>
          <w:bCs/>
          <w:lang w:val="en-GB"/>
        </w:rPr>
        <w:t xml:space="preserve">: RAN4 to adopt the same definition of ACS for SBFD. Case 3 in TR 38.858 could be adopted to investigate the feasibility of 9 dB offset relative to the in-band blocking requirement.  </w:t>
      </w:r>
    </w:p>
    <w:p w14:paraId="0404A74C" w14:textId="77777777" w:rsidR="00D77990" w:rsidRPr="00D77990" w:rsidRDefault="00D77990" w:rsidP="008A78C9">
      <w:pPr>
        <w:rPr>
          <w:b/>
          <w:bCs/>
          <w:lang w:val="en-GB"/>
        </w:rPr>
      </w:pPr>
    </w:p>
    <w:p w14:paraId="2B7C1C2C" w14:textId="77777777" w:rsidR="00A37CEF" w:rsidRPr="00D54742" w:rsidRDefault="00A37CEF" w:rsidP="002A0877">
      <w:pPr>
        <w:pStyle w:val="Heading1"/>
        <w:jc w:val="both"/>
      </w:pPr>
      <w:r>
        <w:lastRenderedPageBreak/>
        <w:t>References</w:t>
      </w:r>
    </w:p>
    <w:p w14:paraId="20F7CEBE" w14:textId="77777777" w:rsidR="001737E0" w:rsidRDefault="001737E0" w:rsidP="001737E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7" w:name="_Ref47616084"/>
      <w:bookmarkStart w:id="8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 xml:space="preserve">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7"/>
    </w:p>
    <w:p w14:paraId="5DC3233E" w14:textId="727DD3A2" w:rsidR="001737E0" w:rsidRDefault="00433426" w:rsidP="001737E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433426">
        <w:rPr>
          <w:szCs w:val="20"/>
          <w:lang w:val="en-GB"/>
        </w:rPr>
        <w:t>R4-2502380</w:t>
      </w:r>
      <w:r w:rsidR="001737E0" w:rsidRPr="00A37CEF">
        <w:rPr>
          <w:szCs w:val="20"/>
          <w:lang w:val="en-GB"/>
        </w:rPr>
        <w:t>, “</w:t>
      </w:r>
      <w:r w:rsidR="001737E0" w:rsidRPr="00F10AFF">
        <w:rPr>
          <w:szCs w:val="20"/>
          <w:lang w:val="en-GB"/>
        </w:rPr>
        <w:t>Way Forward for [11</w:t>
      </w:r>
      <w:r w:rsidR="003D29EC">
        <w:rPr>
          <w:szCs w:val="20"/>
          <w:lang w:val="en-GB"/>
        </w:rPr>
        <w:t>4</w:t>
      </w:r>
      <w:r w:rsidR="001737E0" w:rsidRPr="00F10AFF">
        <w:rPr>
          <w:szCs w:val="20"/>
          <w:lang w:val="en-GB"/>
        </w:rPr>
        <w:t>][30</w:t>
      </w:r>
      <w:r w:rsidR="00887414">
        <w:rPr>
          <w:szCs w:val="20"/>
          <w:lang w:val="en-GB"/>
        </w:rPr>
        <w:t>7</w:t>
      </w:r>
      <w:r w:rsidR="001737E0" w:rsidRPr="00F10AFF">
        <w:rPr>
          <w:szCs w:val="20"/>
          <w:lang w:val="en-GB"/>
        </w:rPr>
        <w:t xml:space="preserve">] </w:t>
      </w:r>
      <w:proofErr w:type="spellStart"/>
      <w:r w:rsidR="001737E0" w:rsidRPr="00F10AFF">
        <w:rPr>
          <w:szCs w:val="20"/>
          <w:lang w:val="en-GB"/>
        </w:rPr>
        <w:t>NR_duplex_evo_General</w:t>
      </w:r>
      <w:proofErr w:type="spellEnd"/>
      <w:r w:rsidR="001737E0" w:rsidRPr="00A37CEF">
        <w:rPr>
          <w:szCs w:val="20"/>
          <w:lang w:val="en-GB"/>
        </w:rPr>
        <w:t xml:space="preserve">”, </w:t>
      </w:r>
      <w:r w:rsidR="001737E0">
        <w:rPr>
          <w:szCs w:val="20"/>
          <w:lang w:val="en-GB"/>
        </w:rPr>
        <w:t>RAN4#11</w:t>
      </w:r>
      <w:r w:rsidR="00E23221">
        <w:rPr>
          <w:szCs w:val="20"/>
          <w:lang w:val="en-GB"/>
        </w:rPr>
        <w:t>4</w:t>
      </w:r>
      <w:r w:rsidR="001737E0">
        <w:rPr>
          <w:szCs w:val="20"/>
          <w:lang w:val="en-GB"/>
        </w:rPr>
        <w:t xml:space="preserve">, </w:t>
      </w:r>
      <w:r w:rsidR="00D97ABE">
        <w:rPr>
          <w:szCs w:val="20"/>
          <w:lang w:val="en-GB"/>
        </w:rPr>
        <w:t xml:space="preserve">Huawei, </w:t>
      </w:r>
      <w:proofErr w:type="spellStart"/>
      <w:r w:rsidR="00D97ABE">
        <w:rPr>
          <w:szCs w:val="20"/>
          <w:lang w:val="en-GB"/>
        </w:rPr>
        <w:t>HiSilicon</w:t>
      </w:r>
      <w:proofErr w:type="spellEnd"/>
      <w:r w:rsidR="001737E0" w:rsidRPr="00A37CEF">
        <w:rPr>
          <w:szCs w:val="20"/>
          <w:lang w:val="en-GB"/>
        </w:rPr>
        <w:t xml:space="preserve">. </w:t>
      </w:r>
    </w:p>
    <w:bookmarkEnd w:id="8"/>
    <w:p w14:paraId="7C73CC41" w14:textId="2D30ACC6" w:rsidR="00887414" w:rsidRDefault="00887414" w:rsidP="00887414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433426">
        <w:rPr>
          <w:szCs w:val="20"/>
          <w:lang w:val="en-GB"/>
        </w:rPr>
        <w:t>R4-250</w:t>
      </w:r>
      <w:r w:rsidR="00BA46D0">
        <w:rPr>
          <w:szCs w:val="20"/>
          <w:lang w:val="en-GB"/>
        </w:rPr>
        <w:t>0568</w:t>
      </w:r>
      <w:r w:rsidRPr="00A37CEF">
        <w:rPr>
          <w:szCs w:val="20"/>
          <w:lang w:val="en-GB"/>
        </w:rPr>
        <w:t>, “</w:t>
      </w:r>
      <w:r w:rsidR="00E23221" w:rsidRPr="00E23221">
        <w:rPr>
          <w:szCs w:val="20"/>
          <w:lang w:val="en-GB"/>
        </w:rPr>
        <w:t>Topic summary for [11</w:t>
      </w:r>
      <w:r w:rsidR="005C259C">
        <w:rPr>
          <w:szCs w:val="20"/>
          <w:lang w:val="en-GB"/>
        </w:rPr>
        <w:t>4</w:t>
      </w:r>
      <w:r w:rsidR="00E23221" w:rsidRPr="00E23221">
        <w:rPr>
          <w:szCs w:val="20"/>
          <w:lang w:val="en-GB"/>
        </w:rPr>
        <w:t xml:space="preserve">][307] </w:t>
      </w:r>
      <w:proofErr w:type="spellStart"/>
      <w:r w:rsidR="00E23221" w:rsidRPr="00E23221">
        <w:rPr>
          <w:szCs w:val="20"/>
          <w:lang w:val="en-GB"/>
        </w:rPr>
        <w:t>NR_duplex_evo_BSRF</w:t>
      </w:r>
      <w:proofErr w:type="spellEnd"/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RAN4#11</w:t>
      </w:r>
      <w:r w:rsidR="00E23221">
        <w:rPr>
          <w:szCs w:val="20"/>
          <w:lang w:val="en-GB"/>
        </w:rPr>
        <w:t>4</w:t>
      </w:r>
      <w:r>
        <w:rPr>
          <w:szCs w:val="20"/>
          <w:lang w:val="en-GB"/>
        </w:rPr>
        <w:t xml:space="preserve">, Huawei, </w:t>
      </w:r>
      <w:proofErr w:type="spellStart"/>
      <w:r>
        <w:rPr>
          <w:szCs w:val="20"/>
          <w:lang w:val="en-GB"/>
        </w:rPr>
        <w:t>HiSilicon</w:t>
      </w:r>
      <w:proofErr w:type="spellEnd"/>
      <w:r w:rsidRPr="00A37CEF">
        <w:rPr>
          <w:szCs w:val="20"/>
          <w:lang w:val="en-GB"/>
        </w:rPr>
        <w:t xml:space="preserve">. </w:t>
      </w:r>
    </w:p>
    <w:p w14:paraId="7547DE2D" w14:textId="77777777" w:rsidR="00A37CEF" w:rsidRPr="00887414" w:rsidRDefault="00A37CEF" w:rsidP="002A0877">
      <w:pPr>
        <w:jc w:val="both"/>
        <w:rPr>
          <w:lang w:val="en-GB"/>
        </w:rPr>
      </w:pPr>
    </w:p>
    <w:sectPr w:rsidR="00A37CEF" w:rsidRPr="00887414" w:rsidSect="00370B59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25547" w14:textId="77777777" w:rsidR="00331AC2" w:rsidRDefault="00331AC2">
      <w:pPr>
        <w:spacing w:after="0"/>
      </w:pPr>
      <w:r>
        <w:separator/>
      </w:r>
    </w:p>
  </w:endnote>
  <w:endnote w:type="continuationSeparator" w:id="0">
    <w:p w14:paraId="305DC12B" w14:textId="77777777" w:rsidR="00331AC2" w:rsidRDefault="00331AC2">
      <w:pPr>
        <w:spacing w:after="0"/>
      </w:pPr>
      <w:r>
        <w:continuationSeparator/>
      </w:r>
    </w:p>
  </w:endnote>
  <w:endnote w:type="continuationNotice" w:id="1">
    <w:p w14:paraId="7C14C2CA" w14:textId="77777777" w:rsidR="00331AC2" w:rsidRDefault="00331A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E1952" w14:textId="77777777" w:rsidR="00331AC2" w:rsidRDefault="00331AC2">
      <w:pPr>
        <w:spacing w:after="0"/>
      </w:pPr>
      <w:r>
        <w:separator/>
      </w:r>
    </w:p>
  </w:footnote>
  <w:footnote w:type="continuationSeparator" w:id="0">
    <w:p w14:paraId="25713146" w14:textId="77777777" w:rsidR="00331AC2" w:rsidRDefault="00331AC2">
      <w:pPr>
        <w:spacing w:after="0"/>
      </w:pPr>
      <w:r>
        <w:continuationSeparator/>
      </w:r>
    </w:p>
  </w:footnote>
  <w:footnote w:type="continuationNotice" w:id="1">
    <w:p w14:paraId="6EEFE397" w14:textId="77777777" w:rsidR="00331AC2" w:rsidRDefault="00331A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64725"/>
    <w:multiLevelType w:val="hybridMultilevel"/>
    <w:tmpl w:val="1EBE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3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E11E37"/>
    <w:multiLevelType w:val="hybridMultilevel"/>
    <w:tmpl w:val="163437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4988422">
    <w:abstractNumId w:val="11"/>
  </w:num>
  <w:num w:numId="2" w16cid:durableId="276178333">
    <w:abstractNumId w:val="0"/>
  </w:num>
  <w:num w:numId="3" w16cid:durableId="741606055">
    <w:abstractNumId w:val="3"/>
  </w:num>
  <w:num w:numId="4" w16cid:durableId="1935287387">
    <w:abstractNumId w:val="17"/>
  </w:num>
  <w:num w:numId="5" w16cid:durableId="1753619575">
    <w:abstractNumId w:val="23"/>
  </w:num>
  <w:num w:numId="6" w16cid:durableId="528227147">
    <w:abstractNumId w:val="7"/>
  </w:num>
  <w:num w:numId="7" w16cid:durableId="1151141409">
    <w:abstractNumId w:val="25"/>
  </w:num>
  <w:num w:numId="8" w16cid:durableId="1326208731">
    <w:abstractNumId w:val="22"/>
  </w:num>
  <w:num w:numId="9" w16cid:durableId="2096242991">
    <w:abstractNumId w:val="19"/>
  </w:num>
  <w:num w:numId="10" w16cid:durableId="964656557">
    <w:abstractNumId w:val="24"/>
  </w:num>
  <w:num w:numId="11" w16cid:durableId="724842134">
    <w:abstractNumId w:val="6"/>
  </w:num>
  <w:num w:numId="12" w16cid:durableId="1263489318">
    <w:abstractNumId w:val="33"/>
  </w:num>
  <w:num w:numId="13" w16cid:durableId="1656177574">
    <w:abstractNumId w:val="5"/>
  </w:num>
  <w:num w:numId="14" w16cid:durableId="1351568597">
    <w:abstractNumId w:val="2"/>
  </w:num>
  <w:num w:numId="15" w16cid:durableId="197086569">
    <w:abstractNumId w:val="8"/>
  </w:num>
  <w:num w:numId="16" w16cid:durableId="1700426356">
    <w:abstractNumId w:val="9"/>
  </w:num>
  <w:num w:numId="17" w16cid:durableId="517815193">
    <w:abstractNumId w:val="10"/>
  </w:num>
  <w:num w:numId="18" w16cid:durableId="1275752242">
    <w:abstractNumId w:val="21"/>
  </w:num>
  <w:num w:numId="19" w16cid:durableId="1417093260">
    <w:abstractNumId w:val="16"/>
  </w:num>
  <w:num w:numId="20" w16cid:durableId="925773427">
    <w:abstractNumId w:val="31"/>
  </w:num>
  <w:num w:numId="21" w16cid:durableId="306326423">
    <w:abstractNumId w:val="4"/>
  </w:num>
  <w:num w:numId="22" w16cid:durableId="1262372539">
    <w:abstractNumId w:val="15"/>
  </w:num>
  <w:num w:numId="23" w16cid:durableId="634524535">
    <w:abstractNumId w:val="14"/>
  </w:num>
  <w:num w:numId="24" w16cid:durableId="1509710620">
    <w:abstractNumId w:val="30"/>
  </w:num>
  <w:num w:numId="25" w16cid:durableId="475488186">
    <w:abstractNumId w:val="27"/>
  </w:num>
  <w:num w:numId="26" w16cid:durableId="577984225">
    <w:abstractNumId w:val="20"/>
  </w:num>
  <w:num w:numId="27" w16cid:durableId="236524678">
    <w:abstractNumId w:val="32"/>
  </w:num>
  <w:num w:numId="28" w16cid:durableId="1915163336">
    <w:abstractNumId w:val="12"/>
  </w:num>
  <w:num w:numId="29" w16cid:durableId="1180585837">
    <w:abstractNumId w:val="13"/>
  </w:num>
  <w:num w:numId="30" w16cid:durableId="130952112">
    <w:abstractNumId w:val="26"/>
  </w:num>
  <w:num w:numId="31" w16cid:durableId="1276710328">
    <w:abstractNumId w:val="1"/>
  </w:num>
  <w:num w:numId="32" w16cid:durableId="837580447">
    <w:abstractNumId w:val="35"/>
  </w:num>
  <w:num w:numId="33" w16cid:durableId="1889873422">
    <w:abstractNumId w:val="29"/>
  </w:num>
  <w:num w:numId="34" w16cid:durableId="1830167566">
    <w:abstractNumId w:val="18"/>
  </w:num>
  <w:num w:numId="35" w16cid:durableId="1654917430">
    <w:abstractNumId w:val="34"/>
  </w:num>
  <w:num w:numId="36" w16cid:durableId="15558481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12E5E"/>
    <w:rsid w:val="00040198"/>
    <w:rsid w:val="00042F87"/>
    <w:rsid w:val="000522DE"/>
    <w:rsid w:val="00071946"/>
    <w:rsid w:val="0007385C"/>
    <w:rsid w:val="00080CD0"/>
    <w:rsid w:val="0008520B"/>
    <w:rsid w:val="000934C2"/>
    <w:rsid w:val="00097DDE"/>
    <w:rsid w:val="000B045F"/>
    <w:rsid w:val="000C5F0B"/>
    <w:rsid w:val="000E1A1B"/>
    <w:rsid w:val="000E5ABE"/>
    <w:rsid w:val="000E6B0A"/>
    <w:rsid w:val="00101864"/>
    <w:rsid w:val="00104C41"/>
    <w:rsid w:val="00110C08"/>
    <w:rsid w:val="001143AD"/>
    <w:rsid w:val="00125EDD"/>
    <w:rsid w:val="00127E88"/>
    <w:rsid w:val="00146ED2"/>
    <w:rsid w:val="0014783E"/>
    <w:rsid w:val="00154124"/>
    <w:rsid w:val="001627B2"/>
    <w:rsid w:val="001663D5"/>
    <w:rsid w:val="001737E0"/>
    <w:rsid w:val="00174A48"/>
    <w:rsid w:val="0017600B"/>
    <w:rsid w:val="00176A56"/>
    <w:rsid w:val="00183792"/>
    <w:rsid w:val="001841B1"/>
    <w:rsid w:val="00191713"/>
    <w:rsid w:val="001A1B81"/>
    <w:rsid w:val="001B2602"/>
    <w:rsid w:val="001C19F4"/>
    <w:rsid w:val="001D510D"/>
    <w:rsid w:val="001D54E0"/>
    <w:rsid w:val="001F6E68"/>
    <w:rsid w:val="001F7C18"/>
    <w:rsid w:val="0020337F"/>
    <w:rsid w:val="00203B0B"/>
    <w:rsid w:val="002051DE"/>
    <w:rsid w:val="00205B4B"/>
    <w:rsid w:val="00205C18"/>
    <w:rsid w:val="002137C2"/>
    <w:rsid w:val="00214068"/>
    <w:rsid w:val="00226BAA"/>
    <w:rsid w:val="00227A45"/>
    <w:rsid w:val="0023172D"/>
    <w:rsid w:val="00237667"/>
    <w:rsid w:val="0024056C"/>
    <w:rsid w:val="002415E8"/>
    <w:rsid w:val="00250F42"/>
    <w:rsid w:val="00253E95"/>
    <w:rsid w:val="002559EB"/>
    <w:rsid w:val="002661E3"/>
    <w:rsid w:val="00266A85"/>
    <w:rsid w:val="00271968"/>
    <w:rsid w:val="00275C28"/>
    <w:rsid w:val="00285987"/>
    <w:rsid w:val="002904E7"/>
    <w:rsid w:val="002957BF"/>
    <w:rsid w:val="002A0877"/>
    <w:rsid w:val="002A0D01"/>
    <w:rsid w:val="002A48E5"/>
    <w:rsid w:val="002B37C9"/>
    <w:rsid w:val="002B7483"/>
    <w:rsid w:val="002B7864"/>
    <w:rsid w:val="002D6C8C"/>
    <w:rsid w:val="002E21FA"/>
    <w:rsid w:val="002E379C"/>
    <w:rsid w:val="002E68AC"/>
    <w:rsid w:val="002E7C21"/>
    <w:rsid w:val="002F3C21"/>
    <w:rsid w:val="00301325"/>
    <w:rsid w:val="00302B97"/>
    <w:rsid w:val="0030660F"/>
    <w:rsid w:val="0031565E"/>
    <w:rsid w:val="0032021E"/>
    <w:rsid w:val="003228A6"/>
    <w:rsid w:val="00323D8C"/>
    <w:rsid w:val="00324BCF"/>
    <w:rsid w:val="00331AC2"/>
    <w:rsid w:val="0034488A"/>
    <w:rsid w:val="003707FD"/>
    <w:rsid w:val="00370B59"/>
    <w:rsid w:val="00372ECA"/>
    <w:rsid w:val="003768AB"/>
    <w:rsid w:val="0039127D"/>
    <w:rsid w:val="003927E4"/>
    <w:rsid w:val="003A141C"/>
    <w:rsid w:val="003A2CFD"/>
    <w:rsid w:val="003A4200"/>
    <w:rsid w:val="003A66A2"/>
    <w:rsid w:val="003B0C33"/>
    <w:rsid w:val="003B1FFF"/>
    <w:rsid w:val="003B2015"/>
    <w:rsid w:val="003B2119"/>
    <w:rsid w:val="003C7439"/>
    <w:rsid w:val="003D29EC"/>
    <w:rsid w:val="003E2F06"/>
    <w:rsid w:val="00401DF9"/>
    <w:rsid w:val="00417AEB"/>
    <w:rsid w:val="004207BE"/>
    <w:rsid w:val="00421E71"/>
    <w:rsid w:val="00422733"/>
    <w:rsid w:val="00422C13"/>
    <w:rsid w:val="00433426"/>
    <w:rsid w:val="00447550"/>
    <w:rsid w:val="004563FB"/>
    <w:rsid w:val="00460339"/>
    <w:rsid w:val="00460441"/>
    <w:rsid w:val="00460D91"/>
    <w:rsid w:val="00461785"/>
    <w:rsid w:val="00476B9C"/>
    <w:rsid w:val="004861C1"/>
    <w:rsid w:val="0048722C"/>
    <w:rsid w:val="00491558"/>
    <w:rsid w:val="004945D2"/>
    <w:rsid w:val="004A153A"/>
    <w:rsid w:val="004A56D0"/>
    <w:rsid w:val="004A5F79"/>
    <w:rsid w:val="004A7EA2"/>
    <w:rsid w:val="004C1401"/>
    <w:rsid w:val="004D0585"/>
    <w:rsid w:val="00511429"/>
    <w:rsid w:val="00515DA5"/>
    <w:rsid w:val="00515DF6"/>
    <w:rsid w:val="00516597"/>
    <w:rsid w:val="00516DAF"/>
    <w:rsid w:val="00523634"/>
    <w:rsid w:val="005247E5"/>
    <w:rsid w:val="0052648A"/>
    <w:rsid w:val="00530FAE"/>
    <w:rsid w:val="00540B8E"/>
    <w:rsid w:val="00543697"/>
    <w:rsid w:val="00543C13"/>
    <w:rsid w:val="00556880"/>
    <w:rsid w:val="00560D4B"/>
    <w:rsid w:val="00582C3B"/>
    <w:rsid w:val="00586E75"/>
    <w:rsid w:val="00593642"/>
    <w:rsid w:val="005C259C"/>
    <w:rsid w:val="005C6CB9"/>
    <w:rsid w:val="005D66C2"/>
    <w:rsid w:val="005F730B"/>
    <w:rsid w:val="005F7E78"/>
    <w:rsid w:val="006107E7"/>
    <w:rsid w:val="006258BD"/>
    <w:rsid w:val="00633543"/>
    <w:rsid w:val="00633573"/>
    <w:rsid w:val="0064631E"/>
    <w:rsid w:val="006565AF"/>
    <w:rsid w:val="0066354C"/>
    <w:rsid w:val="00664464"/>
    <w:rsid w:val="00666011"/>
    <w:rsid w:val="00667B84"/>
    <w:rsid w:val="00670A78"/>
    <w:rsid w:val="006738CE"/>
    <w:rsid w:val="00681805"/>
    <w:rsid w:val="006818F8"/>
    <w:rsid w:val="00690ED5"/>
    <w:rsid w:val="00692032"/>
    <w:rsid w:val="00692EC1"/>
    <w:rsid w:val="006A7447"/>
    <w:rsid w:val="006B0E0F"/>
    <w:rsid w:val="006B25A1"/>
    <w:rsid w:val="006B2638"/>
    <w:rsid w:val="006C6E79"/>
    <w:rsid w:val="006D2AFF"/>
    <w:rsid w:val="006D37F2"/>
    <w:rsid w:val="006D4D35"/>
    <w:rsid w:val="006D5840"/>
    <w:rsid w:val="006D63F7"/>
    <w:rsid w:val="006E0AE9"/>
    <w:rsid w:val="006E4349"/>
    <w:rsid w:val="006E7E46"/>
    <w:rsid w:val="006F6280"/>
    <w:rsid w:val="006F730F"/>
    <w:rsid w:val="007008E2"/>
    <w:rsid w:val="007018D8"/>
    <w:rsid w:val="00705014"/>
    <w:rsid w:val="0070632C"/>
    <w:rsid w:val="007117DD"/>
    <w:rsid w:val="0072106E"/>
    <w:rsid w:val="00727DC9"/>
    <w:rsid w:val="007354CE"/>
    <w:rsid w:val="007450D2"/>
    <w:rsid w:val="00752961"/>
    <w:rsid w:val="00753211"/>
    <w:rsid w:val="0075682C"/>
    <w:rsid w:val="007621D1"/>
    <w:rsid w:val="007653BB"/>
    <w:rsid w:val="00767151"/>
    <w:rsid w:val="00771053"/>
    <w:rsid w:val="00773780"/>
    <w:rsid w:val="00780BBC"/>
    <w:rsid w:val="007901C7"/>
    <w:rsid w:val="007905B1"/>
    <w:rsid w:val="007C1821"/>
    <w:rsid w:val="007C432C"/>
    <w:rsid w:val="007E3189"/>
    <w:rsid w:val="007E49C0"/>
    <w:rsid w:val="007F12B8"/>
    <w:rsid w:val="007F13E3"/>
    <w:rsid w:val="00801478"/>
    <w:rsid w:val="008019AF"/>
    <w:rsid w:val="008032A6"/>
    <w:rsid w:val="0081245A"/>
    <w:rsid w:val="00816D3E"/>
    <w:rsid w:val="00821175"/>
    <w:rsid w:val="0082235C"/>
    <w:rsid w:val="008254FE"/>
    <w:rsid w:val="00825F5E"/>
    <w:rsid w:val="00827913"/>
    <w:rsid w:val="00876FF7"/>
    <w:rsid w:val="00880F3A"/>
    <w:rsid w:val="00887414"/>
    <w:rsid w:val="00890214"/>
    <w:rsid w:val="0089771A"/>
    <w:rsid w:val="008A391F"/>
    <w:rsid w:val="008A78C9"/>
    <w:rsid w:val="008B00FC"/>
    <w:rsid w:val="008C6339"/>
    <w:rsid w:val="008D31CC"/>
    <w:rsid w:val="008D6DE6"/>
    <w:rsid w:val="008F1778"/>
    <w:rsid w:val="008F2AF1"/>
    <w:rsid w:val="008F4007"/>
    <w:rsid w:val="009015C8"/>
    <w:rsid w:val="00901F73"/>
    <w:rsid w:val="00904E4C"/>
    <w:rsid w:val="0090669B"/>
    <w:rsid w:val="00912CDC"/>
    <w:rsid w:val="009152FC"/>
    <w:rsid w:val="0091595A"/>
    <w:rsid w:val="009169F8"/>
    <w:rsid w:val="009214B4"/>
    <w:rsid w:val="00925A3A"/>
    <w:rsid w:val="0092718D"/>
    <w:rsid w:val="0093198E"/>
    <w:rsid w:val="0093261C"/>
    <w:rsid w:val="00946833"/>
    <w:rsid w:val="009534D5"/>
    <w:rsid w:val="00960B62"/>
    <w:rsid w:val="00975340"/>
    <w:rsid w:val="0099574F"/>
    <w:rsid w:val="009B62C9"/>
    <w:rsid w:val="009C07A6"/>
    <w:rsid w:val="009C497B"/>
    <w:rsid w:val="009D7F66"/>
    <w:rsid w:val="009E5680"/>
    <w:rsid w:val="009F0F3F"/>
    <w:rsid w:val="009F1412"/>
    <w:rsid w:val="00A03C8D"/>
    <w:rsid w:val="00A12CCE"/>
    <w:rsid w:val="00A227D7"/>
    <w:rsid w:val="00A22A4B"/>
    <w:rsid w:val="00A2326C"/>
    <w:rsid w:val="00A25A5D"/>
    <w:rsid w:val="00A333A3"/>
    <w:rsid w:val="00A37CEF"/>
    <w:rsid w:val="00A5423E"/>
    <w:rsid w:val="00A60640"/>
    <w:rsid w:val="00A606F9"/>
    <w:rsid w:val="00A6386A"/>
    <w:rsid w:val="00A701A8"/>
    <w:rsid w:val="00A76A89"/>
    <w:rsid w:val="00A7799D"/>
    <w:rsid w:val="00A80AF1"/>
    <w:rsid w:val="00A84824"/>
    <w:rsid w:val="00A87452"/>
    <w:rsid w:val="00A951B5"/>
    <w:rsid w:val="00A96DB3"/>
    <w:rsid w:val="00AA2C8F"/>
    <w:rsid w:val="00AA5EF7"/>
    <w:rsid w:val="00AA6AEB"/>
    <w:rsid w:val="00AA6CCC"/>
    <w:rsid w:val="00AC576F"/>
    <w:rsid w:val="00AC60A4"/>
    <w:rsid w:val="00AC7ACA"/>
    <w:rsid w:val="00AD546F"/>
    <w:rsid w:val="00AD55E4"/>
    <w:rsid w:val="00AF207B"/>
    <w:rsid w:val="00AF2ADB"/>
    <w:rsid w:val="00AF54AA"/>
    <w:rsid w:val="00AF6269"/>
    <w:rsid w:val="00B22D42"/>
    <w:rsid w:val="00B336E2"/>
    <w:rsid w:val="00B35350"/>
    <w:rsid w:val="00B42584"/>
    <w:rsid w:val="00B42B77"/>
    <w:rsid w:val="00B4571C"/>
    <w:rsid w:val="00B52C0B"/>
    <w:rsid w:val="00B54521"/>
    <w:rsid w:val="00B6421A"/>
    <w:rsid w:val="00B671A2"/>
    <w:rsid w:val="00B803FA"/>
    <w:rsid w:val="00B81069"/>
    <w:rsid w:val="00B8218A"/>
    <w:rsid w:val="00B93BC9"/>
    <w:rsid w:val="00B93F55"/>
    <w:rsid w:val="00BA46D0"/>
    <w:rsid w:val="00BA5ECC"/>
    <w:rsid w:val="00BC19E0"/>
    <w:rsid w:val="00BC26B2"/>
    <w:rsid w:val="00BD6094"/>
    <w:rsid w:val="00BF05C4"/>
    <w:rsid w:val="00C10E25"/>
    <w:rsid w:val="00C20293"/>
    <w:rsid w:val="00C22926"/>
    <w:rsid w:val="00C22FEE"/>
    <w:rsid w:val="00C27554"/>
    <w:rsid w:val="00C372D6"/>
    <w:rsid w:val="00C42092"/>
    <w:rsid w:val="00C454CD"/>
    <w:rsid w:val="00C476F7"/>
    <w:rsid w:val="00C55129"/>
    <w:rsid w:val="00C65259"/>
    <w:rsid w:val="00C77999"/>
    <w:rsid w:val="00CA463A"/>
    <w:rsid w:val="00CB2361"/>
    <w:rsid w:val="00CB28D2"/>
    <w:rsid w:val="00CC3ED4"/>
    <w:rsid w:val="00CC5B9A"/>
    <w:rsid w:val="00CE5C29"/>
    <w:rsid w:val="00CE7110"/>
    <w:rsid w:val="00CF325A"/>
    <w:rsid w:val="00CF3E04"/>
    <w:rsid w:val="00CF4976"/>
    <w:rsid w:val="00CF75D3"/>
    <w:rsid w:val="00D072C6"/>
    <w:rsid w:val="00D10AD0"/>
    <w:rsid w:val="00D15EE0"/>
    <w:rsid w:val="00D2004A"/>
    <w:rsid w:val="00D25E76"/>
    <w:rsid w:val="00D3736F"/>
    <w:rsid w:val="00D47F8C"/>
    <w:rsid w:val="00D564B2"/>
    <w:rsid w:val="00D60509"/>
    <w:rsid w:val="00D77990"/>
    <w:rsid w:val="00D8223E"/>
    <w:rsid w:val="00D97ABE"/>
    <w:rsid w:val="00DA31C3"/>
    <w:rsid w:val="00DA4E76"/>
    <w:rsid w:val="00DB3FEB"/>
    <w:rsid w:val="00DC004D"/>
    <w:rsid w:val="00DC242B"/>
    <w:rsid w:val="00DC6331"/>
    <w:rsid w:val="00DD4AB6"/>
    <w:rsid w:val="00DF5371"/>
    <w:rsid w:val="00DF762E"/>
    <w:rsid w:val="00E010D1"/>
    <w:rsid w:val="00E02445"/>
    <w:rsid w:val="00E0451E"/>
    <w:rsid w:val="00E076DB"/>
    <w:rsid w:val="00E1074C"/>
    <w:rsid w:val="00E14467"/>
    <w:rsid w:val="00E210C6"/>
    <w:rsid w:val="00E23221"/>
    <w:rsid w:val="00E242F2"/>
    <w:rsid w:val="00E307AE"/>
    <w:rsid w:val="00E324D7"/>
    <w:rsid w:val="00E4434F"/>
    <w:rsid w:val="00E51887"/>
    <w:rsid w:val="00E53794"/>
    <w:rsid w:val="00E57003"/>
    <w:rsid w:val="00E5796C"/>
    <w:rsid w:val="00E66116"/>
    <w:rsid w:val="00E67D1E"/>
    <w:rsid w:val="00E74204"/>
    <w:rsid w:val="00E751F4"/>
    <w:rsid w:val="00E76E43"/>
    <w:rsid w:val="00E8553E"/>
    <w:rsid w:val="00E946E1"/>
    <w:rsid w:val="00E97104"/>
    <w:rsid w:val="00EA3C4E"/>
    <w:rsid w:val="00EA5338"/>
    <w:rsid w:val="00EB7153"/>
    <w:rsid w:val="00EC6A56"/>
    <w:rsid w:val="00EC76F4"/>
    <w:rsid w:val="00ED2FC1"/>
    <w:rsid w:val="00ED7681"/>
    <w:rsid w:val="00EE146F"/>
    <w:rsid w:val="00EF442F"/>
    <w:rsid w:val="00EF49CD"/>
    <w:rsid w:val="00F0171B"/>
    <w:rsid w:val="00F0613B"/>
    <w:rsid w:val="00F12745"/>
    <w:rsid w:val="00F220A3"/>
    <w:rsid w:val="00F44EF7"/>
    <w:rsid w:val="00F47183"/>
    <w:rsid w:val="00F51347"/>
    <w:rsid w:val="00F5459B"/>
    <w:rsid w:val="00F6075E"/>
    <w:rsid w:val="00F8145A"/>
    <w:rsid w:val="00F965A9"/>
    <w:rsid w:val="00FB30D0"/>
    <w:rsid w:val="00FB7F18"/>
    <w:rsid w:val="00FC4FAD"/>
    <w:rsid w:val="00FC7347"/>
    <w:rsid w:val="00FE5EE9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qFormat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paragraph" w:customStyle="1" w:styleId="Proposal">
    <w:name w:val="Proposal"/>
    <w:basedOn w:val="BodyText"/>
    <w:qFormat/>
    <w:rsid w:val="00780BBC"/>
    <w:pPr>
      <w:numPr>
        <w:numId w:val="34"/>
      </w:numPr>
      <w:tabs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hAnsi="Arial" w:cstheme="minorBid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4</Pages>
  <Words>1320</Words>
  <Characters>7530</Characters>
  <Application>Microsoft Office Word</Application>
  <DocSecurity>0</DocSecurity>
  <Lines>62</Lines>
  <Paragraphs>17</Paragraphs>
  <ScaleCrop>false</ScaleCrop>
  <Company>Qualcomm Incorporated</Company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Mustafa Emara</cp:lastModifiedBy>
  <cp:revision>390</cp:revision>
  <dcterms:created xsi:type="dcterms:W3CDTF">2024-03-19T10:25:00Z</dcterms:created>
  <dcterms:modified xsi:type="dcterms:W3CDTF">2025-03-28T16:04:00Z</dcterms:modified>
</cp:coreProperties>
</file>